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C8" w:rsidRPr="002A654A" w:rsidRDefault="005F03C8" w:rsidP="005F03C8">
      <w:pPr>
        <w:spacing w:after="0" w:line="360" w:lineRule="auto"/>
        <w:rPr>
          <w:rFonts w:eastAsia="Calibri" w:cstheme="minorHAnsi"/>
          <w:b/>
          <w:sz w:val="24"/>
          <w:szCs w:val="24"/>
        </w:rPr>
      </w:pPr>
      <w:bookmarkStart w:id="0" w:name="_Hlk486584547"/>
      <w:r w:rsidRPr="002A654A">
        <w:rPr>
          <w:rFonts w:eastAsia="Calibri" w:cstheme="minorHAnsi"/>
          <w:b/>
          <w:sz w:val="24"/>
          <w:szCs w:val="24"/>
        </w:rPr>
        <w:t>PROCEDURA POSTĘPOWANIA NA WYPADEK WYSTĄPIENIA W PLACÓWCE SUBSTANCJI PSYCHOAKTYWNYCH</w:t>
      </w:r>
    </w:p>
    <w:bookmarkEnd w:id="0"/>
    <w:p w:rsidR="005F03C8" w:rsidRPr="0093525C" w:rsidRDefault="005F03C8" w:rsidP="005F03C8">
      <w:pPr>
        <w:spacing w:after="0" w:line="360" w:lineRule="auto"/>
        <w:rPr>
          <w:rFonts w:eastAsia="Calibri" w:cstheme="minorHAnsi"/>
          <w:sz w:val="24"/>
          <w:szCs w:val="24"/>
        </w:rPr>
      </w:pPr>
      <w:r>
        <w:rPr>
          <w:rFonts w:eastAsia="Calibri" w:cstheme="minorHAnsi"/>
          <w:sz w:val="24"/>
          <w:szCs w:val="24"/>
        </w:rPr>
        <w:t>SPOSÓB POSTĘPOWANIA:</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 xml:space="preserve">                  </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u w:val="single"/>
        </w:rPr>
        <w:t>W przypadku  znalezienia podejrzanej substancji odurzającej na terenie szkoły, należy</w:t>
      </w:r>
      <w:r w:rsidRPr="0093525C">
        <w:rPr>
          <w:rFonts w:eastAsia="Calibri" w:cstheme="minorHAnsi"/>
          <w:sz w:val="24"/>
          <w:szCs w:val="24"/>
        </w:rPr>
        <w:t xml:space="preserve">.                                                                      1.  Zachować  szczególne środki ostrożności.                                                                                                                                                                      2.  Zabezpieczyć  substancję przed dostępem do niej uczniów  oraz  ew. jej zniszczeniem.                                                       3.  Powiadomić  dyrektora szkoły, który powiadamia Policję.                                                                                                                                                                             4.  Ustalić, (jeżeli to możliwe), do kogo znaleziona substancja należy.                                                                                                                                              5.  Przekazać  Policji zabezpieczoną substancję oraz informację o zaistniałej sytuacji. </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6.  Przeprowadzić zajęcia warsztatowe z uczniami  na temat zaistniałej sytuacji.</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 xml:space="preserve">7.  Opracować i prowadzić  projekty edukacyjne dot. w/w problematyki.                                                                       </w:t>
      </w:r>
    </w:p>
    <w:p w:rsidR="005F03C8" w:rsidRPr="0093525C" w:rsidRDefault="005F03C8" w:rsidP="005F03C8">
      <w:pPr>
        <w:spacing w:after="0" w:line="360" w:lineRule="auto"/>
        <w:rPr>
          <w:rFonts w:eastAsia="Calibri" w:cstheme="minorHAnsi"/>
          <w:sz w:val="24"/>
          <w:szCs w:val="24"/>
          <w:u w:val="single"/>
        </w:rPr>
      </w:pP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u w:val="single"/>
        </w:rPr>
        <w:t xml:space="preserve">W przypadku podejrzenia  ucznia o posiadaniu środków odurzających, należy:                                                                                                                                                            </w:t>
      </w:r>
      <w:r w:rsidRPr="0093525C">
        <w:rPr>
          <w:rFonts w:eastAsia="Calibri" w:cstheme="minorHAnsi"/>
          <w:sz w:val="24"/>
          <w:szCs w:val="24"/>
        </w:rPr>
        <w:t xml:space="preserve">1.  Odizolować ucznia od pozostałych uczniów w klasie.                                                                                                             2. Powiadomić pedagoga szkolnego.                                                                                                                                          3. Powiadomić dyrektora szkoły, dyrektor powiadamia Policję. </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 xml:space="preserve">4. Zażądać od ucznia w obecności innej osoby/pedagoga przekazania posiadanej substancji.                                               </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 xml:space="preserve">5. Zażądać od  ucznia  pokazania zawartości plecaka  oraz zawartość  kieszeni.                                                                  6. Powiadomić rodziców/prawnych opiekunów ucznia.                                                                                                     7. Poinformować  rodziców o obowiązujących procedurach w szkole/placówce.                                                                 8. Przeprowadzić z uczniem w obecności rodziców o złamaniu obowiązującego prawa szkolnego.                                </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 xml:space="preserve">9. Podjąć wraz z rodzicami i policją działania profilaktyczne w zakresie posiadania i rozprowadzania środków  odurzających.                                                                     </w:t>
      </w:r>
    </w:p>
    <w:p w:rsidR="005F03C8" w:rsidRPr="0093525C" w:rsidRDefault="005F03C8" w:rsidP="005F03C8">
      <w:pPr>
        <w:spacing w:after="0" w:line="360" w:lineRule="auto"/>
        <w:rPr>
          <w:rFonts w:eastAsia="Calibri" w:cstheme="minorHAnsi"/>
          <w:sz w:val="24"/>
          <w:szCs w:val="24"/>
        </w:rPr>
      </w:pPr>
    </w:p>
    <w:p w:rsidR="005F03C8" w:rsidRPr="008E35E7" w:rsidRDefault="005F03C8" w:rsidP="005F03C8">
      <w:pPr>
        <w:spacing w:after="0" w:line="360" w:lineRule="auto"/>
        <w:rPr>
          <w:rFonts w:eastAsia="Calibri" w:cstheme="minorHAnsi"/>
          <w:sz w:val="24"/>
          <w:szCs w:val="24"/>
          <w:u w:val="single"/>
        </w:rPr>
      </w:pPr>
      <w:r w:rsidRPr="008E35E7">
        <w:rPr>
          <w:rFonts w:eastAsia="Calibri" w:cstheme="minorHAnsi"/>
          <w:sz w:val="24"/>
          <w:szCs w:val="24"/>
          <w:u w:val="single"/>
        </w:rPr>
        <w:t>Sposób postępowania po rozpo</w:t>
      </w:r>
      <w:r>
        <w:rPr>
          <w:rFonts w:eastAsia="Calibri" w:cstheme="minorHAnsi"/>
          <w:sz w:val="24"/>
          <w:szCs w:val="24"/>
          <w:u w:val="single"/>
        </w:rPr>
        <w:t>znaniu stanu po zażyciu środków psychoaktywnych</w:t>
      </w:r>
      <w:r w:rsidRPr="008E35E7">
        <w:rPr>
          <w:rFonts w:eastAsia="Calibri" w:cstheme="minorHAnsi"/>
          <w:sz w:val="24"/>
          <w:szCs w:val="24"/>
          <w:u w:val="single"/>
        </w:rPr>
        <w:t xml:space="preserve">: </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Podjąć niezbędne i konieczne  sposoby działania.</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 xml:space="preserve">Powiadomić wychowawcę klasy ucznia. </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 xml:space="preserve">Odizolować ucznia od pozostałych uczniów w klasie. </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Powiadomić pedagoga/psychologa szkolnego.</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Przekazać ucznia pod opiekę pielęgniarki/pedagoga szkolnego.</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lastRenderedPageBreak/>
        <w:t>Powiadomić dyrektora szkoły o zaistniałej sytuacji.</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Powiadomić rodziców ucznia z prośbą o przybycie do szkoły/placówki.</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Zaopiekować się swoim zespołem klasowym.</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Wyciszyć  uczniów i nie wdawać się w negatywne oceny.</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 xml:space="preserve">Poinformować rodziców o obowiązującej w szkole procedurze postępowania. </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 xml:space="preserve">Przeprowadzić rozmowę z rodzicami wskazując  argumenty dla zagrożenia zdrowia.  </w:t>
      </w:r>
    </w:p>
    <w:p w:rsidR="005F03C8"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 xml:space="preserve">Opracować i wdrożyć projekt edukacyjny dot. w/w problematyki. </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Zobowiązać rodziców do pomocy dziecku w odstąpieniu odurzania się.</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Opracować program profilaktyczny pracy z dzieckiem.</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Wdrożyć program profilaktyczny. Monitorować i ewaluować efek</w:t>
      </w:r>
      <w:r>
        <w:rPr>
          <w:rFonts w:eastAsia="Calibri" w:cstheme="minorHAnsi"/>
          <w:sz w:val="24"/>
          <w:szCs w:val="24"/>
        </w:rPr>
        <w:t>ty</w:t>
      </w:r>
    </w:p>
    <w:p w:rsidR="005F03C8" w:rsidRPr="0093525C" w:rsidRDefault="005F03C8" w:rsidP="005F03C8">
      <w:pPr>
        <w:numPr>
          <w:ilvl w:val="0"/>
          <w:numId w:val="1"/>
        </w:numPr>
        <w:spacing w:after="0" w:line="360" w:lineRule="auto"/>
        <w:rPr>
          <w:rFonts w:eastAsia="Calibri" w:cstheme="minorHAnsi"/>
          <w:sz w:val="24"/>
          <w:szCs w:val="24"/>
        </w:rPr>
      </w:pPr>
      <w:r w:rsidRPr="0093525C">
        <w:rPr>
          <w:rFonts w:eastAsia="Calibri" w:cstheme="minorHAnsi"/>
          <w:sz w:val="24"/>
          <w:szCs w:val="24"/>
        </w:rPr>
        <w:t>Powiadomić właściwe instytucje zajmujące się zdrowiem ucznia.</w:t>
      </w:r>
    </w:p>
    <w:p w:rsidR="005F03C8" w:rsidRPr="0093525C" w:rsidRDefault="005F03C8" w:rsidP="005F03C8">
      <w:pPr>
        <w:spacing w:after="0" w:line="360" w:lineRule="auto"/>
        <w:rPr>
          <w:rFonts w:eastAsia="Calibri" w:cstheme="minorHAnsi"/>
          <w:sz w:val="24"/>
          <w:szCs w:val="24"/>
        </w:rPr>
      </w:pP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Sposób postępowania  w sytuacji odmowy współpracy przez rodziców:</w:t>
      </w:r>
    </w:p>
    <w:p w:rsidR="005F03C8" w:rsidRPr="0093525C" w:rsidRDefault="005F03C8" w:rsidP="005F03C8">
      <w:pPr>
        <w:numPr>
          <w:ilvl w:val="0"/>
          <w:numId w:val="2"/>
        </w:numPr>
        <w:spacing w:after="0" w:line="360" w:lineRule="auto"/>
        <w:rPr>
          <w:rFonts w:eastAsia="Calibri" w:cstheme="minorHAnsi"/>
          <w:sz w:val="24"/>
          <w:szCs w:val="24"/>
        </w:rPr>
      </w:pPr>
      <w:r w:rsidRPr="0093525C">
        <w:rPr>
          <w:rFonts w:eastAsia="Calibri" w:cstheme="minorHAnsi"/>
          <w:sz w:val="24"/>
          <w:szCs w:val="24"/>
        </w:rPr>
        <w:t>Szkoła pisemnie powiadamia o zaistniałej sytuacji Sąd Rodzinny lub Policję.</w:t>
      </w:r>
    </w:p>
    <w:p w:rsidR="005F03C8" w:rsidRPr="0093525C" w:rsidRDefault="005F03C8" w:rsidP="005F03C8">
      <w:pPr>
        <w:numPr>
          <w:ilvl w:val="0"/>
          <w:numId w:val="2"/>
        </w:numPr>
        <w:spacing w:after="0" w:line="360" w:lineRule="auto"/>
        <w:rPr>
          <w:rFonts w:eastAsia="Calibri" w:cstheme="minorHAnsi"/>
          <w:sz w:val="24"/>
          <w:szCs w:val="24"/>
        </w:rPr>
      </w:pPr>
      <w:r w:rsidRPr="0093525C">
        <w:rPr>
          <w:rFonts w:eastAsia="Calibri" w:cstheme="minorHAnsi"/>
          <w:sz w:val="24"/>
          <w:szCs w:val="24"/>
        </w:rPr>
        <w:t>Powiadomione  instytucje wdrażają obowiązujące procedury postępowania.</w:t>
      </w:r>
    </w:p>
    <w:p w:rsidR="005F03C8" w:rsidRPr="0093525C" w:rsidRDefault="005F03C8" w:rsidP="005F03C8">
      <w:pPr>
        <w:numPr>
          <w:ilvl w:val="0"/>
          <w:numId w:val="2"/>
        </w:numPr>
        <w:spacing w:after="0" w:line="360" w:lineRule="auto"/>
        <w:rPr>
          <w:rFonts w:eastAsia="Calibri" w:cstheme="minorHAnsi"/>
          <w:sz w:val="24"/>
          <w:szCs w:val="24"/>
        </w:rPr>
      </w:pPr>
      <w:r w:rsidRPr="0093525C">
        <w:rPr>
          <w:rFonts w:eastAsia="Calibri" w:cstheme="minorHAnsi"/>
          <w:sz w:val="24"/>
          <w:szCs w:val="24"/>
        </w:rPr>
        <w:t>Szkoła współpracuje z instytucjami w zakresie  pomocy i wsparcia ucznia.</w:t>
      </w:r>
    </w:p>
    <w:p w:rsidR="005F03C8" w:rsidRPr="0093525C" w:rsidRDefault="005F03C8" w:rsidP="005F03C8">
      <w:pPr>
        <w:numPr>
          <w:ilvl w:val="0"/>
          <w:numId w:val="2"/>
        </w:numPr>
        <w:spacing w:after="0" w:line="360" w:lineRule="auto"/>
        <w:rPr>
          <w:rFonts w:eastAsia="Calibri" w:cstheme="minorHAnsi"/>
          <w:sz w:val="24"/>
          <w:szCs w:val="24"/>
        </w:rPr>
      </w:pPr>
      <w:r w:rsidRPr="0093525C">
        <w:rPr>
          <w:rFonts w:eastAsia="Calibri" w:cstheme="minorHAnsi"/>
          <w:sz w:val="24"/>
          <w:szCs w:val="24"/>
        </w:rPr>
        <w:t>Szkoła udziela informacji i  przekazuje dotychczasowe sposoby postępowania z uczniem.</w:t>
      </w:r>
    </w:p>
    <w:p w:rsidR="005F03C8" w:rsidRPr="0093525C" w:rsidRDefault="005F03C8" w:rsidP="005F03C8">
      <w:pPr>
        <w:numPr>
          <w:ilvl w:val="0"/>
          <w:numId w:val="2"/>
        </w:numPr>
        <w:spacing w:after="0" w:line="360" w:lineRule="auto"/>
        <w:rPr>
          <w:rFonts w:eastAsia="Calibri" w:cstheme="minorHAnsi"/>
          <w:sz w:val="24"/>
          <w:szCs w:val="24"/>
        </w:rPr>
      </w:pPr>
      <w:r w:rsidRPr="0093525C">
        <w:rPr>
          <w:rFonts w:eastAsia="Calibri" w:cstheme="minorHAnsi"/>
          <w:sz w:val="24"/>
          <w:szCs w:val="24"/>
        </w:rPr>
        <w:t xml:space="preserve">Szkoła współpracuje z Ośrodkiem Wychowawczym w którym umieszczono ucznia. </w:t>
      </w:r>
    </w:p>
    <w:p w:rsidR="005F03C8" w:rsidRPr="008E35E7" w:rsidRDefault="005F03C8" w:rsidP="005F03C8">
      <w:pPr>
        <w:numPr>
          <w:ilvl w:val="0"/>
          <w:numId w:val="2"/>
        </w:numPr>
        <w:spacing w:after="0" w:line="360" w:lineRule="auto"/>
        <w:rPr>
          <w:rFonts w:eastAsia="Calibri" w:cstheme="minorHAnsi"/>
          <w:sz w:val="24"/>
          <w:szCs w:val="24"/>
        </w:rPr>
      </w:pPr>
      <w:r w:rsidRPr="0093525C">
        <w:rPr>
          <w:rFonts w:eastAsia="Calibri" w:cstheme="minorHAnsi"/>
          <w:sz w:val="24"/>
          <w:szCs w:val="24"/>
        </w:rPr>
        <w:t xml:space="preserve">Szkoła monitoruje ucznia do czasu osiągnięcia przez niego pełnoletniości. </w:t>
      </w:r>
    </w:p>
    <w:p w:rsidR="005F03C8" w:rsidRPr="0093525C" w:rsidRDefault="005F03C8" w:rsidP="005F03C8">
      <w:pPr>
        <w:spacing w:after="0" w:line="360" w:lineRule="auto"/>
        <w:rPr>
          <w:rFonts w:eastAsia="Calibri" w:cstheme="minorHAnsi"/>
          <w:sz w:val="24"/>
          <w:szCs w:val="24"/>
        </w:rPr>
      </w:pP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Obowiązki pracowników:</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1. Zapoznaj się z rodzajami i wyglądem środków odurzających.</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2. Zapoznaj się z symptomami wskazującymi na odurzenie narkotykiem.</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3. Zapoznaj się z symptomami nadużycia alkoholu.</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 xml:space="preserve">4. Zapoznaj się z symptomami zachowania dealerów środków odurzających. </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 xml:space="preserve">5. Prowadź regularne zajęcia z zakresu zagrożenia zdrowia środkami niebezpiecznymi. </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 xml:space="preserve">6. Prowadź systematyczne zajęcia z zakresu stosowania obowiązującego w szkole Prawa. </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 xml:space="preserve">7. Realizuj projekty edukacyjne z uczniami   o współczesnych zagrożeniach.  </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 xml:space="preserve">8. Prowadź cykliczne szkolenia dla rodziców o zagrożeniach zdrowia dzieci. </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 xml:space="preserve">9. Prowadź ciągłą obserwację uczniów w kontekście ich zdrowia i bezpieczeństwa. </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t>10. Poznaj nazwy instytucji pomocowych zajmujących się uzależnieniami.</w:t>
      </w:r>
    </w:p>
    <w:p w:rsidR="005F03C8" w:rsidRPr="0093525C" w:rsidRDefault="005F03C8" w:rsidP="005F03C8">
      <w:pPr>
        <w:spacing w:after="0" w:line="360" w:lineRule="auto"/>
        <w:rPr>
          <w:rFonts w:eastAsia="Calibri" w:cstheme="minorHAnsi"/>
          <w:sz w:val="24"/>
          <w:szCs w:val="24"/>
        </w:rPr>
      </w:pPr>
      <w:r w:rsidRPr="0093525C">
        <w:rPr>
          <w:rFonts w:eastAsia="Calibri" w:cstheme="minorHAnsi"/>
          <w:sz w:val="24"/>
          <w:szCs w:val="24"/>
        </w:rPr>
        <w:lastRenderedPageBreak/>
        <w:t xml:space="preserve">11. Zapoznawaj się na bieżąco z przepisami obowiązującego Prawa w zakresie zdrowia i bezpieczeństwa uczniów. </w:t>
      </w:r>
    </w:p>
    <w:p w:rsidR="00BF7B8A" w:rsidRDefault="00BF7B8A">
      <w:bookmarkStart w:id="1" w:name="_GoBack"/>
      <w:bookmarkEnd w:id="1"/>
    </w:p>
    <w:sectPr w:rsidR="00BF7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CB0"/>
    <w:multiLevelType w:val="hybridMultilevel"/>
    <w:tmpl w:val="312485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EEF7DC7"/>
    <w:multiLevelType w:val="hybridMultilevel"/>
    <w:tmpl w:val="12B63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C8"/>
    <w:rsid w:val="005F03C8"/>
    <w:rsid w:val="00BF7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3C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3C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4526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2018-01-11T12:11:00Z</dcterms:created>
  <dcterms:modified xsi:type="dcterms:W3CDTF">2018-01-11T12:11:00Z</dcterms:modified>
</cp:coreProperties>
</file>