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Default="00D61612" w:rsidP="001E4CB0">
      <w:pPr>
        <w:ind w:left="142"/>
        <w:rPr>
          <w:rFonts w:ascii="Arial" w:hAnsi="Arial" w:cs="Arial"/>
        </w:rPr>
      </w:pPr>
      <w:r w:rsidRPr="00D616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ykorzystany przez </w:t>
      </w:r>
    </w:p>
    <w:p w:rsidR="00D61612" w:rsidRDefault="00D61612" w:rsidP="001E4CB0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Annę Chmielewską </w:t>
      </w:r>
    </w:p>
    <w:p w:rsidR="00D61612" w:rsidRPr="00D61612" w:rsidRDefault="00D61612" w:rsidP="001E4CB0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</w:rPr>
        <w:t>Nauczyciela Szkoły Podstawowej w Jazgarzewie</w:t>
      </w:r>
      <w:bookmarkStart w:id="0" w:name="_GoBack"/>
      <w:bookmarkEnd w:id="0"/>
    </w:p>
    <w:sectPr w:rsidR="00D61612" w:rsidRPr="00D6161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F4" w:rsidRDefault="007F03F4" w:rsidP="00285D6F">
      <w:pPr>
        <w:spacing w:after="0" w:line="240" w:lineRule="auto"/>
      </w:pPr>
      <w:r>
        <w:separator/>
      </w:r>
    </w:p>
  </w:endnote>
  <w:endnote w:type="continuationSeparator" w:id="0">
    <w:p w:rsidR="007F03F4" w:rsidRDefault="007F03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9E70E" wp14:editId="2631F9A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2106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0FD89" wp14:editId="47AB72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0A3D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7507E10" wp14:editId="0600D87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697D5752" wp14:editId="088BDBE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B3A1E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F4" w:rsidRDefault="007F03F4" w:rsidP="00285D6F">
      <w:pPr>
        <w:spacing w:after="0" w:line="240" w:lineRule="auto"/>
      </w:pPr>
      <w:r>
        <w:separator/>
      </w:r>
    </w:p>
  </w:footnote>
  <w:footnote w:type="continuationSeparator" w:id="0">
    <w:p w:rsidR="007F03F4" w:rsidRDefault="007F03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0B13E25" wp14:editId="7AA9D6F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60A8FDE0" wp14:editId="4E20581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86FBC"/>
    <w:rsid w:val="003B19DC"/>
    <w:rsid w:val="00435B7E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D61612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C33D9"/>
  <w15:docId w15:val="{DCDB9AC9-DABB-4003-87AB-C3163E3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27F-F047-43B4-A282-204A782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4199</Words>
  <Characters>25199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slone</cp:lastModifiedBy>
  <cp:revision>2</cp:revision>
  <dcterms:created xsi:type="dcterms:W3CDTF">2018-11-14T22:59:00Z</dcterms:created>
  <dcterms:modified xsi:type="dcterms:W3CDTF">2018-11-14T22:59:00Z</dcterms:modified>
</cp:coreProperties>
</file>